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6E2278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6E2278" w:rsidRPr="006E2278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6E2278" w:rsidRPr="006E2278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74:10:0606002:471,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</w:t>
      </w:r>
      <w:proofErr w:type="spellStart"/>
      <w:proofErr w:type="gramStart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>Катав-Ивановский</w:t>
      </w:r>
      <w:proofErr w:type="spellEnd"/>
      <w:proofErr w:type="gramEnd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proofErr w:type="spellStart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>муниицпальный</w:t>
      </w:r>
      <w:proofErr w:type="spellEnd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район, </w:t>
      </w:r>
      <w:proofErr w:type="spellStart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</w:t>
      </w:r>
      <w:proofErr w:type="spellStart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</w:t>
      </w:r>
      <w:proofErr w:type="spellEnd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улица Михаила </w:t>
      </w:r>
      <w:proofErr w:type="spellStart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>Медякова</w:t>
      </w:r>
      <w:proofErr w:type="spellEnd"/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>, земельный участок 13</w:t>
      </w:r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6E2278" w:rsidRPr="006E2278">
        <w:rPr>
          <w:rFonts w:ascii="Times New Roman" w:hAnsi="Times New Roman" w:cs="Times New Roman"/>
          <w:b/>
          <w:i/>
          <w:sz w:val="26"/>
          <w:szCs w:val="26"/>
          <w:u w:val="single"/>
        </w:rPr>
        <w:t>для индивидуального жилищного строительства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6E2278" w:rsidRPr="006E2278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1432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 кв.м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</w:t>
      </w:r>
      <w:proofErr w:type="gramStart"/>
      <w:r w:rsidRPr="00161573">
        <w:rPr>
          <w:sz w:val="26"/>
          <w:szCs w:val="26"/>
        </w:rPr>
        <w:t>в</w:t>
      </w:r>
      <w:proofErr w:type="gramEnd"/>
      <w:r w:rsidRPr="00161573">
        <w:rPr>
          <w:sz w:val="26"/>
          <w:szCs w:val="26"/>
        </w:rPr>
        <w:t xml:space="preserve">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</w:t>
      </w:r>
      <w:r w:rsidRPr="00161573">
        <w:rPr>
          <w:sz w:val="26"/>
          <w:szCs w:val="26"/>
        </w:rPr>
        <w:lastRenderedPageBreak/>
        <w:t xml:space="preserve">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>/сч.40101810400000010801, ИНН 7410001770, КПП 745701001, ОКТМО 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6E2278" w:rsidRPr="006E2278" w:rsidRDefault="006E2278" w:rsidP="006E227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2278">
        <w:rPr>
          <w:rFonts w:ascii="Times New Roman" w:hAnsi="Times New Roman" w:cs="Times New Roman"/>
          <w:b/>
          <w:sz w:val="26"/>
          <w:szCs w:val="26"/>
        </w:rPr>
        <w:t xml:space="preserve">Челябинская область, </w:t>
      </w:r>
      <w:proofErr w:type="spellStart"/>
      <w:proofErr w:type="gramStart"/>
      <w:r w:rsidRPr="006E2278">
        <w:rPr>
          <w:rFonts w:ascii="Times New Roman" w:hAnsi="Times New Roman" w:cs="Times New Roman"/>
          <w:b/>
          <w:sz w:val="26"/>
          <w:szCs w:val="26"/>
        </w:rPr>
        <w:t>Катав-Ивановский</w:t>
      </w:r>
      <w:proofErr w:type="spellEnd"/>
      <w:proofErr w:type="gramEnd"/>
      <w:r w:rsidRPr="006E2278">
        <w:rPr>
          <w:rFonts w:ascii="Times New Roman" w:hAnsi="Times New Roman" w:cs="Times New Roman"/>
          <w:b/>
          <w:sz w:val="26"/>
          <w:szCs w:val="26"/>
        </w:rPr>
        <w:t xml:space="preserve"> муниципальный район, </w:t>
      </w:r>
      <w:proofErr w:type="spellStart"/>
      <w:r w:rsidRPr="006E2278">
        <w:rPr>
          <w:rFonts w:ascii="Times New Roman" w:hAnsi="Times New Roman" w:cs="Times New Roman"/>
          <w:b/>
          <w:sz w:val="26"/>
          <w:szCs w:val="26"/>
        </w:rPr>
        <w:t>Тюлюкское</w:t>
      </w:r>
      <w:proofErr w:type="spellEnd"/>
      <w:r w:rsidRPr="006E2278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поселение, село </w:t>
      </w:r>
      <w:proofErr w:type="spellStart"/>
      <w:r w:rsidRPr="006E2278">
        <w:rPr>
          <w:rFonts w:ascii="Times New Roman" w:hAnsi="Times New Roman" w:cs="Times New Roman"/>
          <w:b/>
          <w:sz w:val="26"/>
          <w:szCs w:val="26"/>
        </w:rPr>
        <w:t>Тюлюк</w:t>
      </w:r>
      <w:proofErr w:type="spellEnd"/>
      <w:r w:rsidRPr="006E2278">
        <w:rPr>
          <w:rFonts w:ascii="Times New Roman" w:hAnsi="Times New Roman" w:cs="Times New Roman"/>
          <w:b/>
          <w:sz w:val="26"/>
          <w:szCs w:val="26"/>
        </w:rPr>
        <w:t xml:space="preserve">, улица Михаила </w:t>
      </w:r>
      <w:proofErr w:type="spellStart"/>
      <w:r w:rsidRPr="006E2278">
        <w:rPr>
          <w:rFonts w:ascii="Times New Roman" w:hAnsi="Times New Roman" w:cs="Times New Roman"/>
          <w:b/>
          <w:sz w:val="26"/>
          <w:szCs w:val="26"/>
        </w:rPr>
        <w:t>Медякова</w:t>
      </w:r>
      <w:proofErr w:type="spellEnd"/>
      <w:r w:rsidRPr="006E2278">
        <w:rPr>
          <w:rFonts w:ascii="Times New Roman" w:hAnsi="Times New Roman" w:cs="Times New Roman"/>
          <w:b/>
          <w:sz w:val="26"/>
          <w:szCs w:val="26"/>
        </w:rPr>
        <w:t xml:space="preserve">, земельный участок 13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E2278" w:rsidRPr="00D53255" w:rsidRDefault="00161573" w:rsidP="006E2278">
      <w:pPr>
        <w:ind w:firstLine="708"/>
        <w:jc w:val="both"/>
        <w:rPr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Pr="006E2278">
        <w:rPr>
          <w:rFonts w:ascii="Times New Roman" w:hAnsi="Times New Roman" w:cs="Times New Roman"/>
          <w:sz w:val="26"/>
          <w:szCs w:val="26"/>
        </w:rPr>
        <w:t xml:space="preserve">Арендатор принимает </w:t>
      </w:r>
      <w:r w:rsidR="006E2278" w:rsidRPr="006E2278">
        <w:rPr>
          <w:rFonts w:ascii="Times New Roman" w:hAnsi="Times New Roman" w:cs="Times New Roman"/>
          <w:sz w:val="26"/>
          <w:szCs w:val="26"/>
        </w:rPr>
        <w:t xml:space="preserve">земельный участок из земель 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6E2278" w:rsidRPr="006E2278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>74:10:0606002:471</w:t>
      </w:r>
      <w:r w:rsidR="006E2278" w:rsidRPr="006E2278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</w:t>
      </w:r>
      <w:proofErr w:type="spellStart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>Катав-Ивановский</w:t>
      </w:r>
      <w:proofErr w:type="spellEnd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 xml:space="preserve"> муниципальный район, </w:t>
      </w:r>
      <w:proofErr w:type="spellStart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>Тюлюкское</w:t>
      </w:r>
      <w:proofErr w:type="spellEnd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 xml:space="preserve"> сельское поселение, село </w:t>
      </w:r>
      <w:proofErr w:type="spellStart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>Тюлюк</w:t>
      </w:r>
      <w:proofErr w:type="spellEnd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 xml:space="preserve">, улица Михаила </w:t>
      </w:r>
      <w:proofErr w:type="spellStart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>Медякова</w:t>
      </w:r>
      <w:proofErr w:type="spellEnd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>, земельный участок 13</w:t>
      </w:r>
      <w:r w:rsidR="006E2278" w:rsidRPr="006E2278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 xml:space="preserve"> 1432кв</w:t>
      </w:r>
      <w:proofErr w:type="gramStart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6E2278" w:rsidRPr="006E2278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6E2278" w:rsidRPr="006E2278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="006E2278" w:rsidRPr="00D53255">
        <w:rPr>
          <w:sz w:val="26"/>
          <w:szCs w:val="26"/>
        </w:rPr>
        <w:t>.</w:t>
      </w:r>
    </w:p>
    <w:p w:rsidR="00161573" w:rsidRPr="00161573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12489D"/>
    <w:rsid w:val="00161573"/>
    <w:rsid w:val="006E2278"/>
    <w:rsid w:val="0076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1490</Words>
  <Characters>8493</Characters>
  <Application>Microsoft Office Word</Application>
  <DocSecurity>0</DocSecurity>
  <Lines>70</Lines>
  <Paragraphs>19</Paragraphs>
  <ScaleCrop>false</ScaleCrop>
  <Company/>
  <LinksUpToDate>false</LinksUpToDate>
  <CharactersWithSpaces>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3</cp:revision>
  <dcterms:created xsi:type="dcterms:W3CDTF">2023-03-28T11:13:00Z</dcterms:created>
  <dcterms:modified xsi:type="dcterms:W3CDTF">2023-04-19T05:19:00Z</dcterms:modified>
</cp:coreProperties>
</file>